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CE" w:rsidRPr="002932CE" w:rsidRDefault="002932CE" w:rsidP="002932CE">
      <w:pPr>
        <w:shd w:val="clear" w:color="auto" w:fill="FFFFFF"/>
        <w:spacing w:after="300" w:line="209" w:lineRule="atLeast"/>
        <w:outlineLvl w:val="0"/>
        <w:rPr>
          <w:rFonts w:ascii="Arial" w:eastAsia="Times New Roman" w:hAnsi="Arial" w:cs="Arial"/>
          <w:b/>
          <w:bCs/>
          <w:color w:val="282828"/>
          <w:kern w:val="36"/>
          <w:sz w:val="16"/>
          <w:szCs w:val="16"/>
          <w:u w:val="single"/>
          <w:lang w:eastAsia="lv-LV"/>
        </w:rPr>
      </w:pPr>
      <w:r w:rsidRPr="002932CE">
        <w:rPr>
          <w:rFonts w:ascii="Arial" w:eastAsia="Times New Roman" w:hAnsi="Arial" w:cs="Arial"/>
          <w:b/>
          <w:bCs/>
          <w:color w:val="282828"/>
          <w:kern w:val="36"/>
          <w:sz w:val="16"/>
          <w:szCs w:val="16"/>
          <w:u w:val="single"/>
          <w:lang w:eastAsia="lv-LV"/>
        </w:rPr>
        <w:t>Dokuments - Iekļaušana un daudzveidība</w:t>
      </w:r>
    </w:p>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Kas ir Erasmus+ prioritāte "Iekļaušana un daudzveidība"?</w:t>
      </w:r>
    </w:p>
    <w:p w:rsidR="002932CE" w:rsidRPr="002932CE" w:rsidRDefault="002932CE" w:rsidP="002932CE">
      <w:pPr>
        <w:spacing w:after="0" w:line="240" w:lineRule="auto"/>
        <w:rPr>
          <w:rFonts w:ascii="Arial" w:eastAsia="Times New Roman" w:hAnsi="Arial" w:cs="Arial"/>
          <w:i/>
          <w:iCs/>
          <w:color w:val="282828"/>
          <w:sz w:val="16"/>
          <w:szCs w:val="16"/>
          <w:lang w:eastAsia="lv-LV"/>
        </w:rPr>
      </w:pPr>
    </w:p>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i/>
          <w:iCs/>
          <w:color w:val="282828"/>
          <w:sz w:val="16"/>
          <w:szCs w:val="16"/>
          <w:lang w:eastAsia="lv-LV"/>
        </w:rPr>
        <w:t>Erasmus+</w:t>
      </w:r>
      <w:r w:rsidRPr="002932CE">
        <w:rPr>
          <w:rFonts w:ascii="Arial" w:eastAsia="Times New Roman" w:hAnsi="Arial" w:cs="Arial"/>
          <w:color w:val="282828"/>
          <w:sz w:val="16"/>
          <w:szCs w:val="16"/>
          <w:lang w:eastAsia="lv-LV"/>
        </w:rPr>
        <w:t xml:space="preserve"> programmā izglītības, mācību, jaunatnes un sporta jomā </w:t>
      </w:r>
      <w:proofErr w:type="gramStart"/>
      <w:r w:rsidRPr="002932CE">
        <w:rPr>
          <w:rFonts w:ascii="Arial" w:eastAsia="Times New Roman" w:hAnsi="Arial" w:cs="Arial"/>
          <w:color w:val="282828"/>
          <w:sz w:val="16"/>
          <w:szCs w:val="16"/>
          <w:lang w:eastAsia="lv-LV"/>
        </w:rPr>
        <w:t>2021. – 2027.</w:t>
      </w:r>
      <w:proofErr w:type="gramEnd"/>
      <w:r w:rsidRPr="002932CE">
        <w:rPr>
          <w:rFonts w:ascii="Arial" w:eastAsia="Times New Roman" w:hAnsi="Arial" w:cs="Arial"/>
          <w:color w:val="282828"/>
          <w:sz w:val="16"/>
          <w:szCs w:val="16"/>
          <w:lang w:eastAsia="lv-LV"/>
        </w:rPr>
        <w:t xml:space="preserve"> gadam kā galvenā prioritāte ir izvirzīta vienlīdzīgu iespēju un piekļuves veicināšana, iekļaušana, daudzveidība un taisnīgums, kas paredz:</w:t>
      </w:r>
    </w:p>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 Iekļaujošu pieeju mobilitātes un sadarbības aktivitāšu īstenošanu, sasniedzot iespējami daudz dalībnieku;</w:t>
      </w:r>
    </w:p>
    <w:p w:rsidR="002932CE" w:rsidRPr="002932CE" w:rsidRDefault="002932CE" w:rsidP="002932CE">
      <w:pPr>
        <w:numPr>
          <w:ilvl w:val="0"/>
          <w:numId w:val="1"/>
        </w:numPr>
        <w:spacing w:before="180" w:after="100" w:afterAutospacing="1"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Šķēršļu, ar kuriem var saskarties dalībnieki ar ierobežotām iespējām, novēršanu;</w:t>
      </w:r>
    </w:p>
    <w:p w:rsidR="002932CE" w:rsidRPr="002932CE" w:rsidRDefault="002932CE" w:rsidP="002932CE">
      <w:pPr>
        <w:numPr>
          <w:ilvl w:val="0"/>
          <w:numId w:val="1"/>
        </w:numPr>
        <w:spacing w:before="180" w:after="100" w:afterAutospacing="1"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Iekļaujošas vides sekmēšanu, veicinot taisnīgumu un vienlīdzību atbilstoši ikviena vajadzībām.</w:t>
      </w:r>
    </w:p>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Organizācijām, plānojot un īstenojot projektus, būtu jādomā par projektu iekļaujošo raksturu un, izmantojot programmas mehānismus un resursus, jāpadara aktivitātes pieejamas visplašākajam iespējamam dalībnieku lokam, tajā skaitā dalībniekiem ar ierobežotām iespējām.</w:t>
      </w:r>
    </w:p>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 </w:t>
      </w:r>
    </w:p>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Plānojot un īstenojot Erasmus+ projektus, organizācijas var šo prioritāti ieviest 2 veidos:</w:t>
      </w:r>
    </w:p>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 </w:t>
      </w:r>
    </w:p>
    <w:p w:rsidR="002932CE" w:rsidRPr="002932CE" w:rsidRDefault="002932CE" w:rsidP="002932CE">
      <w:pPr>
        <w:numPr>
          <w:ilvl w:val="0"/>
          <w:numId w:val="2"/>
        </w:numPr>
        <w:spacing w:before="180" w:after="100" w:afterAutospacing="1"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projektu saturu (projekta temats, mērķis, aktivitātes, sasniedzamie rezultāti) veidojot par iekļaušanas un daudzveidības jautājumiem;</w:t>
      </w:r>
    </w:p>
    <w:p w:rsidR="002932CE" w:rsidRPr="002932CE" w:rsidRDefault="002932CE" w:rsidP="002932CE">
      <w:pPr>
        <w:numPr>
          <w:ilvl w:val="0"/>
          <w:numId w:val="2"/>
        </w:numPr>
        <w:spacing w:before="180" w:after="100" w:afterAutospacing="1"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integrējot iekļaušanas un daudzveidības aspektus ikvienā projektā (t.sk. īstenojot iekļaujošas aktivitātes un daudzveidīgu dalībnieku iesaisti, iekļaujošu komunikāciju, to pielāgojot dažādām mērķgrupām, nodrošinot iekļaujošu un pieejamu vidi).</w:t>
      </w:r>
    </w:p>
    <w:p w:rsidR="002932CE" w:rsidRPr="002932CE" w:rsidRDefault="002932CE" w:rsidP="002932CE">
      <w:pPr>
        <w:pStyle w:val="Heading5"/>
        <w:shd w:val="clear" w:color="auto" w:fill="F8F8F8"/>
        <w:spacing w:before="0" w:line="280" w:lineRule="atLeast"/>
        <w:rPr>
          <w:rFonts w:ascii="Arial" w:hAnsi="Arial" w:cs="Arial"/>
          <w:color w:val="282828"/>
          <w:sz w:val="16"/>
          <w:szCs w:val="16"/>
        </w:rPr>
      </w:pPr>
      <w:r w:rsidRPr="002932CE">
        <w:rPr>
          <w:rFonts w:ascii="Arial" w:hAnsi="Arial" w:cs="Arial"/>
          <w:b/>
          <w:bCs/>
          <w:color w:val="282828"/>
          <w:sz w:val="16"/>
          <w:szCs w:val="16"/>
        </w:rPr>
        <w:t>Novēršamie šķēršļi</w:t>
      </w:r>
    </w:p>
    <w:p w:rsidR="002932CE" w:rsidRPr="002932CE" w:rsidRDefault="002932CE" w:rsidP="002932CE">
      <w:pPr>
        <w:pStyle w:val="NormalWeb"/>
        <w:shd w:val="clear" w:color="auto" w:fill="F8F8F8"/>
        <w:spacing w:before="0" w:beforeAutospacing="0" w:after="0" w:afterAutospacing="0"/>
        <w:rPr>
          <w:rFonts w:ascii="Arial" w:hAnsi="Arial" w:cs="Arial"/>
          <w:color w:val="282828"/>
          <w:sz w:val="16"/>
          <w:szCs w:val="16"/>
        </w:rPr>
      </w:pPr>
      <w:r w:rsidRPr="002932CE">
        <w:rPr>
          <w:rFonts w:ascii="Arial" w:hAnsi="Arial" w:cs="Arial"/>
          <w:color w:val="282828"/>
          <w:sz w:val="16"/>
          <w:szCs w:val="16"/>
        </w:rPr>
        <w:t>Saskaņā ar EK izstrādātajām </w:t>
      </w:r>
      <w:hyperlink r:id="rId5" w:history="1">
        <w:r w:rsidRPr="002932CE">
          <w:rPr>
            <w:rStyle w:val="Emphasis"/>
            <w:rFonts w:ascii="Arial" w:hAnsi="Arial" w:cs="Arial"/>
            <w:color w:val="0000FF"/>
            <w:sz w:val="16"/>
            <w:szCs w:val="16"/>
            <w:u w:val="single"/>
          </w:rPr>
          <w:t>Erasmus+</w:t>
        </w:r>
        <w:r w:rsidRPr="002932CE">
          <w:rPr>
            <w:rStyle w:val="Hyperlink"/>
            <w:rFonts w:ascii="Arial" w:hAnsi="Arial" w:cs="Arial"/>
            <w:sz w:val="16"/>
            <w:szCs w:val="16"/>
          </w:rPr>
          <w:t> iekļaušanas un daudzveidības stratēģijas īstenošanas vadlīnijām</w:t>
        </w:r>
      </w:hyperlink>
      <w:r w:rsidRPr="002932CE">
        <w:rPr>
          <w:rFonts w:ascii="Arial" w:hAnsi="Arial" w:cs="Arial"/>
          <w:color w:val="282828"/>
          <w:sz w:val="16"/>
          <w:szCs w:val="16"/>
        </w:rPr>
        <w:t>, kā arī </w:t>
      </w:r>
      <w:r w:rsidRPr="002932CE">
        <w:rPr>
          <w:rStyle w:val="Emphasis"/>
          <w:rFonts w:ascii="Arial" w:hAnsi="Arial" w:cs="Arial"/>
          <w:color w:val="282828"/>
          <w:sz w:val="16"/>
          <w:szCs w:val="16"/>
        </w:rPr>
        <w:t>Erasmus+</w:t>
      </w:r>
      <w:r w:rsidRPr="002932CE">
        <w:rPr>
          <w:rFonts w:ascii="Arial" w:hAnsi="Arial" w:cs="Arial"/>
          <w:color w:val="282828"/>
          <w:sz w:val="16"/>
          <w:szCs w:val="16"/>
        </w:rPr>
        <w:t> programmas ikgadējās </w:t>
      </w:r>
      <w:hyperlink r:id="rId6" w:history="1">
        <w:r w:rsidRPr="002932CE">
          <w:rPr>
            <w:rStyle w:val="Hyperlink"/>
            <w:rFonts w:ascii="Arial" w:hAnsi="Arial" w:cs="Arial"/>
            <w:sz w:val="16"/>
            <w:szCs w:val="16"/>
          </w:rPr>
          <w:t>vadlīnijās</w:t>
        </w:r>
      </w:hyperlink>
      <w:r w:rsidRPr="002932CE">
        <w:rPr>
          <w:rFonts w:ascii="Arial" w:hAnsi="Arial" w:cs="Arial"/>
          <w:color w:val="282828"/>
          <w:sz w:val="16"/>
          <w:szCs w:val="16"/>
        </w:rPr>
        <w:t> minēto informāciju, ir noteiktas </w:t>
      </w:r>
      <w:r w:rsidRPr="002932CE">
        <w:rPr>
          <w:rStyle w:val="Strong"/>
          <w:rFonts w:ascii="Arial" w:hAnsi="Arial" w:cs="Arial"/>
          <w:b w:val="0"/>
          <w:bCs w:val="0"/>
          <w:color w:val="282828"/>
          <w:sz w:val="16"/>
          <w:szCs w:val="16"/>
        </w:rPr>
        <w:t>8 novēršamo šķēršļu grupas personu pilnvērtīgai iesaistei un dalībai </w:t>
      </w:r>
      <w:r w:rsidRPr="002932CE">
        <w:rPr>
          <w:rStyle w:val="Emphasis"/>
          <w:rFonts w:ascii="Arial" w:hAnsi="Arial" w:cs="Arial"/>
          <w:color w:val="282828"/>
          <w:sz w:val="16"/>
          <w:szCs w:val="16"/>
        </w:rPr>
        <w:t>Erasmus+</w:t>
      </w:r>
      <w:r w:rsidRPr="002932CE">
        <w:rPr>
          <w:rStyle w:val="Strong"/>
          <w:rFonts w:ascii="Arial" w:hAnsi="Arial" w:cs="Arial"/>
          <w:b w:val="0"/>
          <w:bCs w:val="0"/>
          <w:color w:val="282828"/>
          <w:sz w:val="16"/>
          <w:szCs w:val="16"/>
        </w:rPr>
        <w:t xml:space="preserve"> mācību </w:t>
      </w:r>
      <w:proofErr w:type="spellStart"/>
      <w:r w:rsidRPr="002932CE">
        <w:rPr>
          <w:rStyle w:val="Strong"/>
          <w:rFonts w:ascii="Arial" w:hAnsi="Arial" w:cs="Arial"/>
          <w:b w:val="0"/>
          <w:bCs w:val="0"/>
          <w:color w:val="282828"/>
          <w:sz w:val="16"/>
          <w:szCs w:val="16"/>
        </w:rPr>
        <w:t>mobilitāšu</w:t>
      </w:r>
      <w:proofErr w:type="spellEnd"/>
      <w:r w:rsidRPr="002932CE">
        <w:rPr>
          <w:rStyle w:val="Strong"/>
          <w:rFonts w:ascii="Arial" w:hAnsi="Arial" w:cs="Arial"/>
          <w:b w:val="0"/>
          <w:bCs w:val="0"/>
          <w:color w:val="282828"/>
          <w:sz w:val="16"/>
          <w:szCs w:val="16"/>
        </w:rPr>
        <w:t xml:space="preserve"> un sadarbības projektu aktivitātēs</w:t>
      </w:r>
      <w:r w:rsidRPr="002932CE">
        <w:rPr>
          <w:rFonts w:ascii="Arial" w:hAnsi="Arial" w:cs="Arial"/>
          <w:color w:val="282828"/>
          <w:sz w:val="16"/>
          <w:szCs w:val="16"/>
        </w:rPr>
        <w:t xml:space="preserve">, </w:t>
      </w:r>
      <w:proofErr w:type="gramStart"/>
      <w:r w:rsidRPr="002932CE">
        <w:rPr>
          <w:rFonts w:ascii="Arial" w:hAnsi="Arial" w:cs="Arial"/>
          <w:color w:val="282828"/>
          <w:sz w:val="16"/>
          <w:szCs w:val="16"/>
        </w:rPr>
        <w:t>vienlaikus atzīmējot, ka saraksts nav izsmeļošs un </w:t>
      </w:r>
      <w:r w:rsidRPr="002932CE">
        <w:rPr>
          <w:rStyle w:val="Emphasis"/>
          <w:rFonts w:ascii="Arial" w:hAnsi="Arial" w:cs="Arial"/>
          <w:color w:val="282828"/>
          <w:sz w:val="16"/>
          <w:szCs w:val="16"/>
        </w:rPr>
        <w:t>Erasmus+</w:t>
      </w:r>
      <w:r w:rsidRPr="002932CE">
        <w:rPr>
          <w:rFonts w:ascii="Arial" w:hAnsi="Arial" w:cs="Arial"/>
          <w:color w:val="282828"/>
          <w:sz w:val="16"/>
          <w:szCs w:val="16"/>
        </w:rPr>
        <w:t> programmas īstenošanas</w:t>
      </w:r>
      <w:proofErr w:type="gramEnd"/>
      <w:r w:rsidRPr="002932CE">
        <w:rPr>
          <w:rFonts w:ascii="Arial" w:hAnsi="Arial" w:cs="Arial"/>
          <w:color w:val="282828"/>
          <w:sz w:val="16"/>
          <w:szCs w:val="16"/>
        </w:rPr>
        <w:t xml:space="preserve"> laikā var tikt papildināts:</w:t>
      </w:r>
    </w:p>
    <w:tbl>
      <w:tblPr>
        <w:tblW w:w="0" w:type="auto"/>
        <w:tblCellSpacing w:w="15" w:type="dxa"/>
        <w:tblCellMar>
          <w:top w:w="15" w:type="dxa"/>
          <w:left w:w="15" w:type="dxa"/>
          <w:bottom w:w="15" w:type="dxa"/>
          <w:right w:w="15" w:type="dxa"/>
        </w:tblCellMar>
        <w:tblLook w:val="04A0"/>
      </w:tblPr>
      <w:tblGrid>
        <w:gridCol w:w="2294"/>
        <w:gridCol w:w="6327"/>
      </w:tblGrid>
      <w:tr w:rsidR="002932CE" w:rsidRPr="002932CE" w:rsidTr="002932CE">
        <w:trPr>
          <w:tblCellSpacing w:w="15" w:type="dxa"/>
        </w:trPr>
        <w:tc>
          <w:tcPr>
            <w:tcW w:w="0" w:type="auto"/>
            <w:gridSpan w:val="2"/>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Novēršamā šķēršļa veids</w:t>
            </w:r>
          </w:p>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personu ar mazāk iespējām un/vai īpašām vajadzībām pilnvērtīgai iesaistei un dalībai </w:t>
            </w:r>
            <w:r w:rsidRPr="002932CE">
              <w:rPr>
                <w:rFonts w:ascii="Arial" w:eastAsia="Times New Roman" w:hAnsi="Arial" w:cs="Arial"/>
                <w:i/>
                <w:iCs/>
                <w:color w:val="282828"/>
                <w:sz w:val="16"/>
                <w:szCs w:val="16"/>
                <w:lang w:eastAsia="lv-LV"/>
              </w:rPr>
              <w:t>Erasmus+</w:t>
            </w:r>
            <w:r w:rsidRPr="002932CE">
              <w:rPr>
                <w:rFonts w:ascii="Arial" w:eastAsia="Times New Roman" w:hAnsi="Arial" w:cs="Arial"/>
                <w:color w:val="282828"/>
                <w:sz w:val="16"/>
                <w:szCs w:val="16"/>
                <w:lang w:eastAsia="lv-LV"/>
              </w:rPr>
              <w:t xml:space="preserve"> mācību </w:t>
            </w:r>
            <w:proofErr w:type="spellStart"/>
            <w:r w:rsidRPr="002932CE">
              <w:rPr>
                <w:rFonts w:ascii="Arial" w:eastAsia="Times New Roman" w:hAnsi="Arial" w:cs="Arial"/>
                <w:color w:val="282828"/>
                <w:sz w:val="16"/>
                <w:szCs w:val="16"/>
                <w:lang w:eastAsia="lv-LV"/>
              </w:rPr>
              <w:t>mobilitāšu</w:t>
            </w:r>
            <w:proofErr w:type="spellEnd"/>
            <w:r w:rsidRPr="002932CE">
              <w:rPr>
                <w:rFonts w:ascii="Arial" w:eastAsia="Times New Roman" w:hAnsi="Arial" w:cs="Arial"/>
                <w:color w:val="282828"/>
                <w:sz w:val="16"/>
                <w:szCs w:val="16"/>
                <w:lang w:eastAsia="lv-LV"/>
              </w:rPr>
              <w:t xml:space="preserve"> un sadarbības projektu aktivitātēs</w:t>
            </w:r>
          </w:p>
        </w:tc>
      </w:tr>
      <w:tr w:rsidR="002932CE" w:rsidRPr="002932CE" w:rsidTr="002932CE">
        <w:trPr>
          <w:tblCellSpacing w:w="15" w:type="dxa"/>
        </w:trPr>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(1) Invaliditāte</w:t>
            </w:r>
          </w:p>
        </w:tc>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fiziski, garīgi, intelektuāli vai maņu traucējumi</w:t>
            </w:r>
          </w:p>
        </w:tc>
      </w:tr>
      <w:tr w:rsidR="002932CE" w:rsidRPr="002932CE" w:rsidTr="002932CE">
        <w:trPr>
          <w:tblCellSpacing w:w="15" w:type="dxa"/>
        </w:trPr>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(2) Veselības problēmas</w:t>
            </w:r>
          </w:p>
        </w:tc>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veselības traucējumi, tostarp smagas slimības; hroniska saslimšana vai jebkāda ar fizisko vai garīgo veselību saistīta situācija</w:t>
            </w:r>
          </w:p>
        </w:tc>
      </w:tr>
      <w:tr w:rsidR="002932CE" w:rsidRPr="002932CE" w:rsidTr="002932CE">
        <w:trPr>
          <w:tblCellSpacing w:w="15" w:type="dxa"/>
        </w:trPr>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(3) Šķēršļi, kas saistīti ar izglītības un mācību sistēmām</w:t>
            </w:r>
          </w:p>
        </w:tc>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sarežģīti gūt rezultātus izglītības un mācību sistēmās; izglītību vai mācības priekšlaicīgi pārtraukušie; jaunieši, kas nemācās, nestrādā un neapgūst arodu (</w:t>
            </w:r>
            <w:r w:rsidRPr="002932CE">
              <w:rPr>
                <w:rFonts w:ascii="Arial" w:eastAsia="Times New Roman" w:hAnsi="Arial" w:cs="Arial"/>
                <w:i/>
                <w:iCs/>
                <w:color w:val="282828"/>
                <w:sz w:val="16"/>
                <w:szCs w:val="16"/>
                <w:lang w:eastAsia="lv-LV"/>
              </w:rPr>
              <w:t>NEET</w:t>
            </w:r>
            <w:r w:rsidRPr="002932CE">
              <w:rPr>
                <w:rFonts w:ascii="Arial" w:eastAsia="Times New Roman" w:hAnsi="Arial" w:cs="Arial"/>
                <w:color w:val="282828"/>
                <w:sz w:val="16"/>
                <w:szCs w:val="16"/>
                <w:lang w:eastAsia="lv-LV"/>
              </w:rPr>
              <w:t>); mazkvalificēti pieaugušie</w:t>
            </w:r>
          </w:p>
        </w:tc>
      </w:tr>
      <w:tr w:rsidR="002932CE" w:rsidRPr="002932CE" w:rsidTr="002932CE">
        <w:trPr>
          <w:tblCellSpacing w:w="15" w:type="dxa"/>
        </w:trPr>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(4) Kultūras atšķirības</w:t>
            </w:r>
          </w:p>
        </w:tc>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cilvēki ar migrantu vai bēgļu pieredzi; kas pieder nacionālo vai etnisko minoritāšu grupām; zīmju valodas lietotāji</w:t>
            </w:r>
          </w:p>
        </w:tc>
      </w:tr>
      <w:tr w:rsidR="002932CE" w:rsidRPr="002932CE" w:rsidTr="002932CE">
        <w:trPr>
          <w:tblCellSpacing w:w="15" w:type="dxa"/>
        </w:trPr>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(5) Sociālie šķēršļi</w:t>
            </w:r>
          </w:p>
        </w:tc>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ierobežota sociālā kompetence; antisociāla vai riskanta uzvedība; sociāli atstumti; iztikas pelnītājs vai bārenis; persona ir dzīvojusi vai pašlaik dzīvo aprūpes iestādē</w:t>
            </w:r>
          </w:p>
        </w:tc>
      </w:tr>
      <w:tr w:rsidR="002932CE" w:rsidRPr="002932CE" w:rsidTr="002932CE">
        <w:trPr>
          <w:tblCellSpacing w:w="15" w:type="dxa"/>
        </w:trPr>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(6) Ekonomiskie šķēršļi</w:t>
            </w:r>
          </w:p>
        </w:tc>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zems dzīves līmenis; zemi ienākumi; nepieciešamība strādāt paralēli mācībām; ilgstošs bezdarbs; nestabila ekonomiskā situācija vai nabadzība; kļūšana par bezpajumtnieku; parādi vai finansiāla rakstura problēmas</w:t>
            </w:r>
          </w:p>
        </w:tc>
      </w:tr>
      <w:tr w:rsidR="002932CE" w:rsidRPr="002932CE" w:rsidTr="002932CE">
        <w:trPr>
          <w:tblCellSpacing w:w="15" w:type="dxa"/>
        </w:trPr>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(7) Šķēršļi, kas saistīti ar diskrimināciju</w:t>
            </w:r>
          </w:p>
        </w:tc>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diskriminācija, kas saistīta ar dzimumu, vecumu, etnisko izcelsmi, reliģisko piederību, uzskatiem, seksuālo orientāciju, invaliditāti</w:t>
            </w:r>
          </w:p>
        </w:tc>
      </w:tr>
      <w:tr w:rsidR="002932CE" w:rsidRPr="002932CE" w:rsidTr="002932CE">
        <w:trPr>
          <w:tblCellSpacing w:w="15" w:type="dxa"/>
        </w:trPr>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(8) Ģeogrāfiskie šķēršļi</w:t>
            </w:r>
          </w:p>
        </w:tc>
        <w:tc>
          <w:tcPr>
            <w:tcW w:w="0" w:type="auto"/>
            <w:tcMar>
              <w:top w:w="135" w:type="dxa"/>
              <w:left w:w="180" w:type="dxa"/>
              <w:bottom w:w="120" w:type="dxa"/>
              <w:right w:w="75" w:type="dxa"/>
            </w:tcMar>
            <w:vAlign w:val="center"/>
            <w:hideMark/>
          </w:tcPr>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personas no attāliem vai lauku reģioniem, kuros ir mazāk attīstīta pakalpojumu infrastruktūra; ierobežots sabiedriskais transports; nepietiekami pakalpojumi</w:t>
            </w:r>
          </w:p>
        </w:tc>
      </w:tr>
    </w:tbl>
    <w:p w:rsidR="006F7A73" w:rsidRPr="002932CE" w:rsidRDefault="002932CE">
      <w:pPr>
        <w:rPr>
          <w:sz w:val="16"/>
          <w:szCs w:val="16"/>
        </w:rPr>
      </w:pPr>
    </w:p>
    <w:p w:rsidR="002932CE" w:rsidRPr="002932CE" w:rsidRDefault="002932CE" w:rsidP="002932CE">
      <w:pPr>
        <w:pStyle w:val="Heading5"/>
        <w:shd w:val="clear" w:color="auto" w:fill="F8F8F8"/>
        <w:spacing w:before="0" w:line="280" w:lineRule="atLeast"/>
        <w:rPr>
          <w:rFonts w:ascii="Arial" w:hAnsi="Arial" w:cs="Arial"/>
          <w:color w:val="282828"/>
          <w:sz w:val="16"/>
          <w:szCs w:val="16"/>
        </w:rPr>
      </w:pPr>
      <w:r w:rsidRPr="002932CE">
        <w:rPr>
          <w:rFonts w:ascii="Arial" w:hAnsi="Arial" w:cs="Arial"/>
          <w:b/>
          <w:bCs/>
          <w:color w:val="282828"/>
          <w:sz w:val="16"/>
          <w:szCs w:val="16"/>
        </w:rPr>
        <w:t>Erasmus+ iekļaušanas un daudzveidības stratēģijas īstenošanas vadlīnijas</w:t>
      </w:r>
    </w:p>
    <w:p w:rsidR="002932CE" w:rsidRPr="002932CE" w:rsidRDefault="002932CE" w:rsidP="002932CE">
      <w:pPr>
        <w:pStyle w:val="NormalWeb"/>
        <w:shd w:val="clear" w:color="auto" w:fill="F8F8F8"/>
        <w:spacing w:before="0" w:beforeAutospacing="0" w:after="0" w:afterAutospacing="0"/>
        <w:rPr>
          <w:rFonts w:ascii="Arial" w:hAnsi="Arial" w:cs="Arial"/>
          <w:color w:val="282828"/>
          <w:sz w:val="16"/>
          <w:szCs w:val="16"/>
        </w:rPr>
      </w:pPr>
      <w:r w:rsidRPr="002932CE">
        <w:rPr>
          <w:rFonts w:ascii="Arial" w:hAnsi="Arial" w:cs="Arial"/>
          <w:color w:val="282828"/>
          <w:sz w:val="16"/>
          <w:szCs w:val="16"/>
        </w:rPr>
        <w:t>Eiropas Komisija 2021. gada 29. aprīlī publicēja </w:t>
      </w:r>
      <w:r w:rsidRPr="002932CE">
        <w:rPr>
          <w:rStyle w:val="Emphasis"/>
          <w:rFonts w:ascii="Arial" w:hAnsi="Arial" w:cs="Arial"/>
          <w:color w:val="282828"/>
          <w:sz w:val="16"/>
          <w:szCs w:val="16"/>
        </w:rPr>
        <w:t>Erasmus+</w:t>
      </w:r>
      <w:r w:rsidRPr="002932CE">
        <w:rPr>
          <w:rFonts w:ascii="Arial" w:hAnsi="Arial" w:cs="Arial"/>
          <w:color w:val="282828"/>
          <w:sz w:val="16"/>
          <w:szCs w:val="16"/>
        </w:rPr>
        <w:t> iekļaušanas un daudzveidības stratēģijas īstenošanas vadlīnijas. Tās izveidotas, lai pastiprinātu iekļaušanas un daudzveidības dimensiju programmā, veicinot vieglāku piekļuvi finansējumam plašākam organizāciju lokam un sasniedzot vairāk dalībnieku ar ierobežotām iespējām.  </w:t>
      </w:r>
    </w:p>
    <w:p w:rsidR="002932CE" w:rsidRPr="002932CE" w:rsidRDefault="002932CE" w:rsidP="002932CE">
      <w:pPr>
        <w:pStyle w:val="NormalWeb"/>
        <w:shd w:val="clear" w:color="auto" w:fill="F8F8F8"/>
        <w:spacing w:before="0" w:beforeAutospacing="0" w:after="0" w:afterAutospacing="0"/>
        <w:rPr>
          <w:rFonts w:ascii="Arial" w:hAnsi="Arial" w:cs="Arial"/>
          <w:color w:val="282828"/>
          <w:sz w:val="16"/>
          <w:szCs w:val="16"/>
        </w:rPr>
      </w:pPr>
      <w:r w:rsidRPr="002932CE">
        <w:rPr>
          <w:rFonts w:ascii="Arial" w:hAnsi="Arial" w:cs="Arial"/>
          <w:color w:val="282828"/>
          <w:sz w:val="16"/>
          <w:szCs w:val="16"/>
        </w:rPr>
        <w:t> </w:t>
      </w:r>
    </w:p>
    <w:p w:rsidR="002932CE" w:rsidRPr="002932CE" w:rsidRDefault="002932CE" w:rsidP="002932CE">
      <w:pPr>
        <w:pStyle w:val="NormalWeb"/>
        <w:shd w:val="clear" w:color="auto" w:fill="F8F8F8"/>
        <w:spacing w:before="0" w:beforeAutospacing="0" w:after="0" w:afterAutospacing="0"/>
        <w:rPr>
          <w:rFonts w:ascii="Arial" w:hAnsi="Arial" w:cs="Arial"/>
          <w:color w:val="282828"/>
          <w:sz w:val="16"/>
          <w:szCs w:val="16"/>
        </w:rPr>
      </w:pPr>
      <w:r w:rsidRPr="002932CE">
        <w:rPr>
          <w:rFonts w:ascii="Arial" w:hAnsi="Arial" w:cs="Arial"/>
          <w:color w:val="282828"/>
          <w:sz w:val="16"/>
          <w:szCs w:val="16"/>
        </w:rPr>
        <w:lastRenderedPageBreak/>
        <w:t>Iekļaušanas un daudzveidības stratēģija ietver:</w:t>
      </w:r>
    </w:p>
    <w:p w:rsidR="002932CE" w:rsidRPr="002932CE" w:rsidRDefault="002932CE" w:rsidP="002932CE">
      <w:pPr>
        <w:numPr>
          <w:ilvl w:val="0"/>
          <w:numId w:val="3"/>
        </w:numPr>
        <w:shd w:val="clear" w:color="auto" w:fill="F8F8F8"/>
        <w:spacing w:before="180" w:after="100" w:afterAutospacing="1" w:line="240" w:lineRule="auto"/>
        <w:rPr>
          <w:rFonts w:ascii="Arial" w:hAnsi="Arial" w:cs="Arial"/>
          <w:color w:val="282828"/>
          <w:sz w:val="16"/>
          <w:szCs w:val="16"/>
        </w:rPr>
      </w:pPr>
      <w:r w:rsidRPr="002932CE">
        <w:rPr>
          <w:rFonts w:ascii="Arial" w:hAnsi="Arial" w:cs="Arial"/>
          <w:color w:val="282828"/>
          <w:sz w:val="16"/>
          <w:szCs w:val="16"/>
        </w:rPr>
        <w:t>vienotas definīcijas dažādās nozarēs, mērķgrupās un konkrētus ar iekļaušanu saistītus mērķus;</w:t>
      </w:r>
    </w:p>
    <w:p w:rsidR="002932CE" w:rsidRPr="002932CE" w:rsidRDefault="002932CE" w:rsidP="002932CE">
      <w:pPr>
        <w:numPr>
          <w:ilvl w:val="0"/>
          <w:numId w:val="3"/>
        </w:numPr>
        <w:shd w:val="clear" w:color="auto" w:fill="F8F8F8"/>
        <w:spacing w:before="180" w:after="100" w:afterAutospacing="1" w:line="240" w:lineRule="auto"/>
        <w:rPr>
          <w:rFonts w:ascii="Arial" w:hAnsi="Arial" w:cs="Arial"/>
          <w:color w:val="282828"/>
          <w:sz w:val="16"/>
          <w:szCs w:val="16"/>
        </w:rPr>
      </w:pPr>
      <w:r w:rsidRPr="002932CE">
        <w:rPr>
          <w:rFonts w:ascii="Arial" w:hAnsi="Arial" w:cs="Arial"/>
          <w:color w:val="282828"/>
          <w:sz w:val="16"/>
          <w:szCs w:val="16"/>
        </w:rPr>
        <w:t>organizācijām un dalībniekiem programmā pieejamo aktivitāšu aprakstu, lai nodrošinātu to visplašāko pieejamību;</w:t>
      </w:r>
    </w:p>
    <w:p w:rsidR="002932CE" w:rsidRPr="002932CE" w:rsidRDefault="002932CE" w:rsidP="002932CE">
      <w:pPr>
        <w:numPr>
          <w:ilvl w:val="0"/>
          <w:numId w:val="3"/>
        </w:numPr>
        <w:shd w:val="clear" w:color="auto" w:fill="F8F8F8"/>
        <w:spacing w:before="180" w:after="100" w:afterAutospacing="1" w:line="240" w:lineRule="auto"/>
        <w:rPr>
          <w:rFonts w:ascii="Arial" w:hAnsi="Arial" w:cs="Arial"/>
          <w:color w:val="282828"/>
          <w:sz w:val="16"/>
          <w:szCs w:val="16"/>
        </w:rPr>
      </w:pPr>
      <w:r w:rsidRPr="002932CE">
        <w:rPr>
          <w:rFonts w:ascii="Arial" w:hAnsi="Arial" w:cs="Arial"/>
          <w:color w:val="282828"/>
          <w:sz w:val="16"/>
          <w:szCs w:val="16"/>
        </w:rPr>
        <w:t>norādes nacionālajām aģentūrām, resursu centriem un Eiropas Izglītības un kultūras izpildaģentūrai;</w:t>
      </w:r>
    </w:p>
    <w:p w:rsidR="002932CE" w:rsidRPr="002932CE" w:rsidRDefault="002932CE" w:rsidP="002932CE">
      <w:pPr>
        <w:numPr>
          <w:ilvl w:val="0"/>
          <w:numId w:val="3"/>
        </w:numPr>
        <w:shd w:val="clear" w:color="auto" w:fill="F8F8F8"/>
        <w:spacing w:before="180" w:after="100" w:afterAutospacing="1" w:line="240" w:lineRule="auto"/>
        <w:rPr>
          <w:rFonts w:ascii="Arial" w:hAnsi="Arial" w:cs="Arial"/>
          <w:color w:val="282828"/>
          <w:sz w:val="16"/>
          <w:szCs w:val="16"/>
        </w:rPr>
      </w:pPr>
      <w:r w:rsidRPr="002932CE">
        <w:rPr>
          <w:rFonts w:ascii="Arial" w:hAnsi="Arial" w:cs="Arial"/>
          <w:color w:val="282828"/>
          <w:sz w:val="16"/>
          <w:szCs w:val="16"/>
        </w:rPr>
        <w:t>avotus, lai smeltos iedvesmu un iepazītu labo praksi iekļaušanas un daudzveidības jomā </w:t>
      </w:r>
      <w:r w:rsidRPr="002932CE">
        <w:rPr>
          <w:rStyle w:val="Emphasis"/>
          <w:rFonts w:ascii="Arial" w:hAnsi="Arial" w:cs="Arial"/>
          <w:color w:val="282828"/>
          <w:sz w:val="16"/>
          <w:szCs w:val="16"/>
        </w:rPr>
        <w:t>Erasmus+</w:t>
      </w:r>
      <w:r w:rsidRPr="002932CE">
        <w:rPr>
          <w:rFonts w:ascii="Arial" w:hAnsi="Arial" w:cs="Arial"/>
          <w:color w:val="282828"/>
          <w:sz w:val="16"/>
          <w:szCs w:val="16"/>
        </w:rPr>
        <w:t> programmā.</w:t>
      </w:r>
    </w:p>
    <w:p w:rsidR="002932CE" w:rsidRPr="002932CE" w:rsidRDefault="002932CE" w:rsidP="002932CE">
      <w:pPr>
        <w:pStyle w:val="NormalWeb"/>
        <w:shd w:val="clear" w:color="auto" w:fill="F8F8F8"/>
        <w:spacing w:before="0" w:beforeAutospacing="0" w:after="0" w:afterAutospacing="0"/>
        <w:rPr>
          <w:rFonts w:ascii="Arial" w:hAnsi="Arial" w:cs="Arial"/>
          <w:color w:val="282828"/>
          <w:sz w:val="16"/>
          <w:szCs w:val="16"/>
        </w:rPr>
      </w:pPr>
      <w:r w:rsidRPr="002932CE">
        <w:rPr>
          <w:rStyle w:val="Emphasis"/>
          <w:rFonts w:ascii="Arial" w:hAnsi="Arial" w:cs="Arial"/>
          <w:color w:val="282828"/>
          <w:sz w:val="16"/>
          <w:szCs w:val="16"/>
        </w:rPr>
        <w:t>Erasmus+</w:t>
      </w:r>
      <w:r w:rsidRPr="002932CE">
        <w:rPr>
          <w:rFonts w:ascii="Arial" w:hAnsi="Arial" w:cs="Arial"/>
          <w:color w:val="282828"/>
          <w:sz w:val="16"/>
          <w:szCs w:val="16"/>
        </w:rPr>
        <w:t> iekļaušanas un daudzveidības stratēģijas īstenošanas vadlīnijas visās ES oficiālajās valodās ir pieejamas </w:t>
      </w:r>
      <w:hyperlink r:id="rId7" w:tgtFrame="_blank" w:history="1">
        <w:r w:rsidRPr="002932CE">
          <w:rPr>
            <w:rStyle w:val="Hyperlink"/>
            <w:rFonts w:ascii="Arial" w:hAnsi="Arial" w:cs="Arial"/>
            <w:sz w:val="16"/>
            <w:szCs w:val="16"/>
          </w:rPr>
          <w:t>šeit</w:t>
        </w:r>
      </w:hyperlink>
      <w:r w:rsidRPr="002932CE">
        <w:rPr>
          <w:rFonts w:ascii="Arial" w:hAnsi="Arial" w:cs="Arial"/>
          <w:color w:val="282828"/>
          <w:sz w:val="16"/>
          <w:szCs w:val="16"/>
        </w:rPr>
        <w:t>.</w:t>
      </w:r>
    </w:p>
    <w:p w:rsidR="002932CE" w:rsidRPr="002932CE" w:rsidRDefault="002932CE">
      <w:pPr>
        <w:rPr>
          <w:sz w:val="16"/>
          <w:szCs w:val="16"/>
        </w:rPr>
      </w:pPr>
    </w:p>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Eiropas Komisija (EK) 2021. gada 22. oktobrī pieņēma lēmumu par </w:t>
      </w:r>
      <w:r w:rsidRPr="002932CE">
        <w:rPr>
          <w:rFonts w:ascii="Arial" w:eastAsia="Times New Roman" w:hAnsi="Arial" w:cs="Arial"/>
          <w:i/>
          <w:iCs/>
          <w:color w:val="282828"/>
          <w:sz w:val="16"/>
          <w:szCs w:val="16"/>
          <w:lang w:eastAsia="lv-LV"/>
        </w:rPr>
        <w:t>Erasmus+</w:t>
      </w:r>
      <w:r w:rsidRPr="002932CE">
        <w:rPr>
          <w:rFonts w:ascii="Arial" w:eastAsia="Times New Roman" w:hAnsi="Arial" w:cs="Arial"/>
          <w:color w:val="282828"/>
          <w:sz w:val="16"/>
          <w:szCs w:val="16"/>
          <w:lang w:eastAsia="lv-LV"/>
        </w:rPr>
        <w:t> programmas iekļaujošo pasākumu kopumu  laika posmam no 2021. līdz 2027. gadam, lai pastiprinātu iekļaušanas un daudzveidības dimensiju programmā, tādējādi veicinot vieglāku piekļuvi finansējumam plašākam organizāciju lokam un ļaujot to sasniegt lielākam skaitam dalībnieku ar ierobežotām iespējām:</w:t>
      </w:r>
    </w:p>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 </w:t>
      </w:r>
    </w:p>
    <w:p w:rsidR="002932CE" w:rsidRPr="002932CE" w:rsidRDefault="002932CE" w:rsidP="002932CE">
      <w:pPr>
        <w:numPr>
          <w:ilvl w:val="0"/>
          <w:numId w:val="4"/>
        </w:numPr>
        <w:spacing w:before="180" w:after="100" w:afterAutospacing="1"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papildu finansiālais atbalsts personām ar ierobežotām iespējām;</w:t>
      </w:r>
    </w:p>
    <w:p w:rsidR="002932CE" w:rsidRPr="002932CE" w:rsidRDefault="002932CE" w:rsidP="002932CE">
      <w:pPr>
        <w:numPr>
          <w:ilvl w:val="0"/>
          <w:numId w:val="4"/>
        </w:numPr>
        <w:spacing w:before="180" w:after="100" w:afterAutospacing="1"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īpaši atbalsta pasākumi visos projekta posmos (sagatavošanas vizītes, valodas apguves atbalsts, papildu uzraudzības pasākumi);</w:t>
      </w:r>
    </w:p>
    <w:p w:rsidR="002932CE" w:rsidRPr="002932CE" w:rsidRDefault="002932CE" w:rsidP="002932CE">
      <w:pPr>
        <w:numPr>
          <w:ilvl w:val="0"/>
          <w:numId w:val="4"/>
        </w:numPr>
        <w:spacing w:before="180" w:after="100" w:afterAutospacing="1"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papildu atbalsts organizācijām, kas iesaistītas ar iekļaušanas jautājumiem saistītos projektos (papildu finansējums kapacitātes stiprināšanai, mācību un tīklošanās aktivitātes iekļaušanas tēmā);</w:t>
      </w:r>
    </w:p>
    <w:p w:rsidR="002932CE" w:rsidRPr="002932CE" w:rsidRDefault="002932CE" w:rsidP="002932CE">
      <w:pPr>
        <w:numPr>
          <w:ilvl w:val="0"/>
          <w:numId w:val="4"/>
        </w:numPr>
        <w:spacing w:before="180" w:after="100" w:afterAutospacing="1"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elastīgi mobilitātes projektu noteikumi formāta un ilguma ziņā (iespēja brīvi kombinēt individuālas vai grupu fiziskās un virtuālās mobilitātes);</w:t>
      </w:r>
    </w:p>
    <w:p w:rsidR="002932CE" w:rsidRPr="002932CE" w:rsidRDefault="002932CE" w:rsidP="002932CE">
      <w:pPr>
        <w:numPr>
          <w:ilvl w:val="0"/>
          <w:numId w:val="4"/>
        </w:numPr>
        <w:spacing w:before="180" w:after="100" w:afterAutospacing="1"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prioritāte projektu konkursos (prioritāte tiks dota kvalitatīviem projektiem, kuros iesaistīti dalībnieki ar mazāk iespējām un kuros tiek risināti iekļaušanas un daudzveidības jautājumi);</w:t>
      </w:r>
    </w:p>
    <w:p w:rsidR="002932CE" w:rsidRPr="002932CE" w:rsidRDefault="002932CE" w:rsidP="002932CE">
      <w:pPr>
        <w:numPr>
          <w:ilvl w:val="0"/>
          <w:numId w:val="4"/>
        </w:numPr>
        <w:spacing w:before="180" w:after="100" w:afterAutospacing="1"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skaidrāka komunikācijas un atskaišu sistēma (lietotājiem draudzīga, viegli uztverama informācija dažādās valodās, atskaišu sistēmas vienkāršošana).</w:t>
      </w:r>
    </w:p>
    <w:p w:rsidR="002932CE" w:rsidRPr="002932CE" w:rsidRDefault="002932CE" w:rsidP="002932CE">
      <w:pPr>
        <w:spacing w:after="0" w:line="240" w:lineRule="auto"/>
        <w:rPr>
          <w:rFonts w:ascii="Arial" w:eastAsia="Times New Roman" w:hAnsi="Arial" w:cs="Arial"/>
          <w:color w:val="282828"/>
          <w:sz w:val="16"/>
          <w:szCs w:val="16"/>
          <w:lang w:eastAsia="lv-LV"/>
        </w:rPr>
      </w:pPr>
      <w:r w:rsidRPr="002932CE">
        <w:rPr>
          <w:rFonts w:ascii="Arial" w:eastAsia="Times New Roman" w:hAnsi="Arial" w:cs="Arial"/>
          <w:color w:val="282828"/>
          <w:sz w:val="16"/>
          <w:szCs w:val="16"/>
          <w:lang w:eastAsia="lv-LV"/>
        </w:rPr>
        <w:t>Definētie pasākumi  sniedz skaidras norādes nepieciešamībai uzlabot vienlīdzības un iekļaušanas principu Eiropas izglītības telpā un ir pilnībā atbilstošs Eiropas Sociālo tiesību pīlāra pirmajam principam, kas nosaka, ka ikvienam ir tiesības uz kvalitatīvu un iekļaujošu vispārējo un profesionālo izglītību un mūžizglītību, lai varētu saglabāt un iegūt prasmes, kas ļauj pilnā mērā piedalīties sabiedrības dzīvē un veiksmīgi iekļauties darba tirgū. Pasākumu īstenošana tiek koordinēta un uzraudzīta Eiropas un nacionālā līmenī. EK lēmums par </w:t>
      </w:r>
      <w:r w:rsidRPr="002932CE">
        <w:rPr>
          <w:rFonts w:ascii="Arial" w:eastAsia="Times New Roman" w:hAnsi="Arial" w:cs="Arial"/>
          <w:i/>
          <w:iCs/>
          <w:color w:val="282828"/>
          <w:sz w:val="16"/>
          <w:szCs w:val="16"/>
          <w:lang w:eastAsia="lv-LV"/>
        </w:rPr>
        <w:t>Erasmus+</w:t>
      </w:r>
      <w:r w:rsidRPr="002932CE">
        <w:rPr>
          <w:rFonts w:ascii="Arial" w:eastAsia="Times New Roman" w:hAnsi="Arial" w:cs="Arial"/>
          <w:color w:val="282828"/>
          <w:sz w:val="16"/>
          <w:szCs w:val="16"/>
          <w:lang w:eastAsia="lv-LV"/>
        </w:rPr>
        <w:t> programmas iekļaušanas un daudzveidības ieviešanas pasākumu kopu visās ES oficiālajās valodās ir pieejams </w:t>
      </w:r>
      <w:hyperlink r:id="rId8" w:tgtFrame="_blank" w:history="1">
        <w:r w:rsidRPr="002932CE">
          <w:rPr>
            <w:rFonts w:ascii="Arial" w:eastAsia="Times New Roman" w:hAnsi="Arial" w:cs="Arial"/>
            <w:color w:val="0000FF"/>
            <w:sz w:val="16"/>
            <w:szCs w:val="16"/>
            <w:u w:val="single"/>
            <w:lang w:eastAsia="lv-LV"/>
          </w:rPr>
          <w:t>EK mājaslapā</w:t>
        </w:r>
      </w:hyperlink>
      <w:r w:rsidRPr="002932CE">
        <w:rPr>
          <w:rFonts w:ascii="Arial" w:eastAsia="Times New Roman" w:hAnsi="Arial" w:cs="Arial"/>
          <w:color w:val="282828"/>
          <w:sz w:val="16"/>
          <w:szCs w:val="16"/>
          <w:lang w:eastAsia="lv-LV"/>
        </w:rPr>
        <w:t>. </w:t>
      </w:r>
    </w:p>
    <w:p w:rsidR="002932CE" w:rsidRPr="002932CE" w:rsidRDefault="002932CE">
      <w:pPr>
        <w:rPr>
          <w:sz w:val="16"/>
          <w:szCs w:val="16"/>
        </w:rPr>
      </w:pPr>
    </w:p>
    <w:p w:rsidR="002932CE" w:rsidRPr="002932CE" w:rsidRDefault="002932CE">
      <w:pPr>
        <w:rPr>
          <w:rFonts w:ascii="Arial" w:hAnsi="Arial" w:cs="Arial"/>
          <w:color w:val="282828"/>
          <w:sz w:val="16"/>
          <w:szCs w:val="16"/>
          <w:shd w:val="clear" w:color="auto" w:fill="F8F8F8"/>
        </w:rPr>
      </w:pPr>
      <w:r w:rsidRPr="002932CE">
        <w:rPr>
          <w:rFonts w:ascii="Arial" w:hAnsi="Arial" w:cs="Arial"/>
          <w:color w:val="282828"/>
          <w:sz w:val="16"/>
          <w:szCs w:val="16"/>
          <w:shd w:val="clear" w:color="auto" w:fill="F8F8F8"/>
        </w:rPr>
        <w:t>Valsts izglītības attīstības aģentūras</w:t>
      </w:r>
      <w:r w:rsidRPr="002932CE">
        <w:rPr>
          <w:rStyle w:val="Emphasis"/>
          <w:rFonts w:ascii="Arial" w:hAnsi="Arial" w:cs="Arial"/>
          <w:color w:val="282828"/>
          <w:sz w:val="16"/>
          <w:szCs w:val="16"/>
          <w:shd w:val="clear" w:color="auto" w:fill="F8F8F8"/>
        </w:rPr>
        <w:t> Erasmus</w:t>
      </w:r>
      <w:r w:rsidRPr="002932CE">
        <w:rPr>
          <w:rFonts w:ascii="Arial" w:hAnsi="Arial" w:cs="Arial"/>
          <w:color w:val="282828"/>
          <w:sz w:val="16"/>
          <w:szCs w:val="16"/>
          <w:shd w:val="clear" w:color="auto" w:fill="F8F8F8"/>
        </w:rPr>
        <w:t>+ programmas departaments nodrošina informatīvi izglītojošus un publicitātes pasākumus, kā arī sniedz konsultācijas par iekļaušanas un daudzveidības aspektiem </w:t>
      </w:r>
      <w:r w:rsidRPr="002932CE">
        <w:rPr>
          <w:rStyle w:val="Emphasis"/>
          <w:rFonts w:ascii="Arial" w:hAnsi="Arial" w:cs="Arial"/>
          <w:color w:val="282828"/>
          <w:sz w:val="16"/>
          <w:szCs w:val="16"/>
          <w:shd w:val="clear" w:color="auto" w:fill="F8F8F8"/>
        </w:rPr>
        <w:t>Erasmus</w:t>
      </w:r>
      <w:r w:rsidRPr="002932CE">
        <w:rPr>
          <w:rFonts w:ascii="Arial" w:hAnsi="Arial" w:cs="Arial"/>
          <w:color w:val="282828"/>
          <w:sz w:val="16"/>
          <w:szCs w:val="16"/>
          <w:shd w:val="clear" w:color="auto" w:fill="F8F8F8"/>
        </w:rPr>
        <w:t>+ projektu ietvaros, sniedzot atbalstu organizācijām, kas ir gan potenciālie, gan esošie </w:t>
      </w:r>
      <w:r w:rsidRPr="002932CE">
        <w:rPr>
          <w:rStyle w:val="Emphasis"/>
          <w:rFonts w:ascii="Arial" w:hAnsi="Arial" w:cs="Arial"/>
          <w:color w:val="282828"/>
          <w:sz w:val="16"/>
          <w:szCs w:val="16"/>
          <w:shd w:val="clear" w:color="auto" w:fill="F8F8F8"/>
        </w:rPr>
        <w:t>Erasmus</w:t>
      </w:r>
      <w:r w:rsidRPr="002932CE">
        <w:rPr>
          <w:rFonts w:ascii="Arial" w:hAnsi="Arial" w:cs="Arial"/>
          <w:color w:val="282828"/>
          <w:sz w:val="16"/>
          <w:szCs w:val="16"/>
          <w:shd w:val="clear" w:color="auto" w:fill="F8F8F8"/>
        </w:rPr>
        <w:t>+ projektu īstenotāji. </w:t>
      </w:r>
    </w:p>
    <w:p w:rsidR="002932CE" w:rsidRPr="002932CE" w:rsidRDefault="002932CE">
      <w:pPr>
        <w:rPr>
          <w:sz w:val="16"/>
          <w:szCs w:val="16"/>
        </w:rPr>
      </w:pPr>
      <w:r w:rsidRPr="002932CE">
        <w:rPr>
          <w:sz w:val="16"/>
          <w:szCs w:val="16"/>
        </w:rPr>
        <w:t>MATERIĀLI</w:t>
      </w:r>
      <w:proofErr w:type="gramStart"/>
      <w:r w:rsidRPr="002932CE">
        <w:rPr>
          <w:sz w:val="16"/>
          <w:szCs w:val="16"/>
        </w:rPr>
        <w:t xml:space="preserve">  </w:t>
      </w:r>
      <w:proofErr w:type="gramEnd"/>
      <w:r w:rsidRPr="002932CE">
        <w:rPr>
          <w:sz w:val="16"/>
          <w:szCs w:val="16"/>
        </w:rPr>
        <w:t>- https://saltoinclusion.eu/resources/</w:t>
      </w:r>
    </w:p>
    <w:p w:rsidR="002932CE" w:rsidRPr="002932CE" w:rsidRDefault="002932CE">
      <w:pPr>
        <w:rPr>
          <w:sz w:val="16"/>
          <w:szCs w:val="16"/>
        </w:rPr>
      </w:pPr>
    </w:p>
    <w:sectPr w:rsidR="002932CE" w:rsidRPr="002932CE" w:rsidSect="00B400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BD2"/>
    <w:multiLevelType w:val="multilevel"/>
    <w:tmpl w:val="8AB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14A54"/>
    <w:multiLevelType w:val="multilevel"/>
    <w:tmpl w:val="9AB2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03F5E"/>
    <w:multiLevelType w:val="multilevel"/>
    <w:tmpl w:val="84C6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F13DA7"/>
    <w:multiLevelType w:val="multilevel"/>
    <w:tmpl w:val="C410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2CE"/>
    <w:rsid w:val="002932CE"/>
    <w:rsid w:val="008D6AA0"/>
    <w:rsid w:val="00B400BA"/>
    <w:rsid w:val="00CE40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BA"/>
  </w:style>
  <w:style w:type="paragraph" w:styleId="Heading1">
    <w:name w:val="heading 1"/>
    <w:basedOn w:val="Normal"/>
    <w:link w:val="Heading1Char"/>
    <w:uiPriority w:val="9"/>
    <w:qFormat/>
    <w:rsid w:val="00293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5">
    <w:name w:val="heading 5"/>
    <w:basedOn w:val="Normal"/>
    <w:next w:val="Normal"/>
    <w:link w:val="Heading5Char"/>
    <w:uiPriority w:val="9"/>
    <w:semiHidden/>
    <w:unhideWhenUsed/>
    <w:qFormat/>
    <w:rsid w:val="002932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2CE"/>
    <w:rPr>
      <w:rFonts w:ascii="Times New Roman" w:eastAsia="Times New Roman" w:hAnsi="Times New Roman" w:cs="Times New Roman"/>
      <w:b/>
      <w:bCs/>
      <w:kern w:val="36"/>
      <w:sz w:val="48"/>
      <w:szCs w:val="48"/>
      <w:lang w:eastAsia="lv-LV"/>
    </w:rPr>
  </w:style>
  <w:style w:type="character" w:customStyle="1" w:styleId="dropdown-toggle">
    <w:name w:val="dropdown-toggle"/>
    <w:basedOn w:val="DefaultParagraphFont"/>
    <w:rsid w:val="002932CE"/>
  </w:style>
  <w:style w:type="character" w:customStyle="1" w:styleId="print-wrapper">
    <w:name w:val="print-wrapper"/>
    <w:basedOn w:val="DefaultParagraphFont"/>
    <w:rsid w:val="002932CE"/>
  </w:style>
  <w:style w:type="character" w:styleId="Hyperlink">
    <w:name w:val="Hyperlink"/>
    <w:basedOn w:val="DefaultParagraphFont"/>
    <w:uiPriority w:val="99"/>
    <w:semiHidden/>
    <w:unhideWhenUsed/>
    <w:rsid w:val="002932CE"/>
    <w:rPr>
      <w:color w:val="0000FF"/>
      <w:u w:val="single"/>
    </w:rPr>
  </w:style>
  <w:style w:type="paragraph" w:styleId="NormalWeb">
    <w:name w:val="Normal (Web)"/>
    <w:basedOn w:val="Normal"/>
    <w:uiPriority w:val="99"/>
    <w:unhideWhenUsed/>
    <w:rsid w:val="002932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932CE"/>
    <w:rPr>
      <w:i/>
      <w:iCs/>
    </w:rPr>
  </w:style>
  <w:style w:type="character" w:styleId="Strong">
    <w:name w:val="Strong"/>
    <w:basedOn w:val="DefaultParagraphFont"/>
    <w:uiPriority w:val="22"/>
    <w:qFormat/>
    <w:rsid w:val="002932CE"/>
    <w:rPr>
      <w:b/>
      <w:bCs/>
    </w:rPr>
  </w:style>
  <w:style w:type="character" w:customStyle="1" w:styleId="Heading5Char">
    <w:name w:val="Heading 5 Char"/>
    <w:basedOn w:val="DefaultParagraphFont"/>
    <w:link w:val="Heading5"/>
    <w:uiPriority w:val="9"/>
    <w:semiHidden/>
    <w:rsid w:val="002932CE"/>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4753970">
      <w:bodyDiv w:val="1"/>
      <w:marLeft w:val="0"/>
      <w:marRight w:val="0"/>
      <w:marTop w:val="0"/>
      <w:marBottom w:val="0"/>
      <w:divBdr>
        <w:top w:val="none" w:sz="0" w:space="0" w:color="auto"/>
        <w:left w:val="none" w:sz="0" w:space="0" w:color="auto"/>
        <w:bottom w:val="none" w:sz="0" w:space="0" w:color="auto"/>
        <w:right w:val="none" w:sz="0" w:space="0" w:color="auto"/>
      </w:divBdr>
    </w:div>
    <w:div w:id="3425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670918">
          <w:marLeft w:val="0"/>
          <w:marRight w:val="0"/>
          <w:marTop w:val="0"/>
          <w:marBottom w:val="0"/>
          <w:divBdr>
            <w:top w:val="none" w:sz="0" w:space="0" w:color="auto"/>
            <w:left w:val="none" w:sz="0" w:space="0" w:color="auto"/>
            <w:bottom w:val="none" w:sz="0" w:space="0" w:color="auto"/>
            <w:right w:val="none" w:sz="0" w:space="0" w:color="auto"/>
          </w:divBdr>
        </w:div>
      </w:divsChild>
    </w:div>
    <w:div w:id="654407965">
      <w:bodyDiv w:val="1"/>
      <w:marLeft w:val="0"/>
      <w:marRight w:val="0"/>
      <w:marTop w:val="0"/>
      <w:marBottom w:val="0"/>
      <w:divBdr>
        <w:top w:val="none" w:sz="0" w:space="0" w:color="auto"/>
        <w:left w:val="none" w:sz="0" w:space="0" w:color="auto"/>
        <w:bottom w:val="none" w:sz="0" w:space="0" w:color="auto"/>
        <w:right w:val="none" w:sz="0" w:space="0" w:color="auto"/>
      </w:divBdr>
    </w:div>
    <w:div w:id="1665158056">
      <w:bodyDiv w:val="1"/>
      <w:marLeft w:val="0"/>
      <w:marRight w:val="0"/>
      <w:marTop w:val="0"/>
      <w:marBottom w:val="0"/>
      <w:divBdr>
        <w:top w:val="none" w:sz="0" w:space="0" w:color="auto"/>
        <w:left w:val="none" w:sz="0" w:space="0" w:color="auto"/>
        <w:bottom w:val="none" w:sz="0" w:space="0" w:color="auto"/>
        <w:right w:val="none" w:sz="0" w:space="0" w:color="auto"/>
      </w:divBdr>
      <w:divsChild>
        <w:div w:id="1085421624">
          <w:marLeft w:val="0"/>
          <w:marRight w:val="0"/>
          <w:marTop w:val="0"/>
          <w:marBottom w:val="0"/>
          <w:divBdr>
            <w:top w:val="none" w:sz="0" w:space="0" w:color="auto"/>
            <w:left w:val="none" w:sz="0" w:space="0" w:color="auto"/>
            <w:bottom w:val="none" w:sz="0" w:space="0" w:color="auto"/>
            <w:right w:val="none" w:sz="0" w:space="0" w:color="auto"/>
          </w:divBdr>
        </w:div>
      </w:divsChild>
    </w:div>
    <w:div w:id="1787966807">
      <w:bodyDiv w:val="1"/>
      <w:marLeft w:val="0"/>
      <w:marRight w:val="0"/>
      <w:marTop w:val="0"/>
      <w:marBottom w:val="0"/>
      <w:divBdr>
        <w:top w:val="none" w:sz="0" w:space="0" w:color="auto"/>
        <w:left w:val="none" w:sz="0" w:space="0" w:color="auto"/>
        <w:bottom w:val="none" w:sz="0" w:space="0" w:color="auto"/>
        <w:right w:val="none" w:sz="0" w:space="0" w:color="auto"/>
      </w:divBdr>
      <w:divsChild>
        <w:div w:id="1218053094">
          <w:marLeft w:val="0"/>
          <w:marRight w:val="0"/>
          <w:marTop w:val="0"/>
          <w:marBottom w:val="195"/>
          <w:divBdr>
            <w:top w:val="none" w:sz="0" w:space="0" w:color="auto"/>
            <w:left w:val="none" w:sz="0" w:space="0" w:color="auto"/>
            <w:bottom w:val="none" w:sz="0" w:space="0" w:color="auto"/>
            <w:right w:val="none" w:sz="0" w:space="0" w:color="auto"/>
          </w:divBdr>
          <w:divsChild>
            <w:div w:id="1071737658">
              <w:marLeft w:val="0"/>
              <w:marRight w:val="0"/>
              <w:marTop w:val="0"/>
              <w:marBottom w:val="0"/>
              <w:divBdr>
                <w:top w:val="none" w:sz="0" w:space="0" w:color="auto"/>
                <w:left w:val="none" w:sz="0" w:space="0" w:color="auto"/>
                <w:bottom w:val="none" w:sz="0" w:space="0" w:color="auto"/>
                <w:right w:val="none" w:sz="0" w:space="0" w:color="auto"/>
              </w:divBdr>
              <w:divsChild>
                <w:div w:id="7774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6702">
          <w:marLeft w:val="0"/>
          <w:marRight w:val="0"/>
          <w:marTop w:val="0"/>
          <w:marBottom w:val="360"/>
          <w:divBdr>
            <w:top w:val="none" w:sz="0" w:space="0" w:color="auto"/>
            <w:left w:val="none" w:sz="0" w:space="0" w:color="auto"/>
            <w:bottom w:val="none" w:sz="0" w:space="0" w:color="auto"/>
            <w:right w:val="none" w:sz="0" w:space="0" w:color="auto"/>
          </w:divBdr>
          <w:divsChild>
            <w:div w:id="863833786">
              <w:marLeft w:val="0"/>
              <w:marRight w:val="0"/>
              <w:marTop w:val="0"/>
              <w:marBottom w:val="450"/>
              <w:divBdr>
                <w:top w:val="none" w:sz="0" w:space="0" w:color="auto"/>
                <w:left w:val="none" w:sz="0" w:space="0" w:color="auto"/>
                <w:bottom w:val="none" w:sz="0" w:space="0" w:color="auto"/>
                <w:right w:val="none" w:sz="0" w:space="0" w:color="auto"/>
              </w:divBdr>
              <w:divsChild>
                <w:div w:id="591351892">
                  <w:marLeft w:val="0"/>
                  <w:marRight w:val="0"/>
                  <w:marTop w:val="0"/>
                  <w:marBottom w:val="0"/>
                  <w:divBdr>
                    <w:top w:val="none" w:sz="0" w:space="0" w:color="auto"/>
                    <w:left w:val="none" w:sz="0" w:space="0" w:color="auto"/>
                    <w:bottom w:val="none" w:sz="0" w:space="0" w:color="auto"/>
                    <w:right w:val="none" w:sz="0" w:space="0" w:color="auto"/>
                  </w:divBdr>
                  <w:divsChild>
                    <w:div w:id="1772430786">
                      <w:marLeft w:val="0"/>
                      <w:marRight w:val="0"/>
                      <w:marTop w:val="0"/>
                      <w:marBottom w:val="0"/>
                      <w:divBdr>
                        <w:top w:val="none" w:sz="0" w:space="0" w:color="auto"/>
                        <w:left w:val="none" w:sz="0" w:space="0" w:color="auto"/>
                        <w:bottom w:val="none" w:sz="0" w:space="0" w:color="auto"/>
                        <w:right w:val="none" w:sz="0" w:space="0" w:color="auto"/>
                      </w:divBdr>
                      <w:divsChild>
                        <w:div w:id="904799157">
                          <w:marLeft w:val="0"/>
                          <w:marRight w:val="0"/>
                          <w:marTop w:val="0"/>
                          <w:marBottom w:val="0"/>
                          <w:divBdr>
                            <w:top w:val="none" w:sz="0" w:space="0" w:color="auto"/>
                            <w:left w:val="none" w:sz="0" w:space="0" w:color="auto"/>
                            <w:bottom w:val="none" w:sz="0" w:space="0" w:color="auto"/>
                            <w:right w:val="none" w:sz="0" w:space="0" w:color="auto"/>
                          </w:divBdr>
                          <w:divsChild>
                            <w:div w:id="460926919">
                              <w:marLeft w:val="0"/>
                              <w:marRight w:val="0"/>
                              <w:marTop w:val="0"/>
                              <w:marBottom w:val="0"/>
                              <w:divBdr>
                                <w:top w:val="none" w:sz="0" w:space="0" w:color="auto"/>
                                <w:left w:val="none" w:sz="0" w:space="0" w:color="auto"/>
                                <w:bottom w:val="none" w:sz="0" w:space="0" w:color="auto"/>
                                <w:right w:val="none" w:sz="0" w:space="0" w:color="auto"/>
                              </w:divBdr>
                            </w:div>
                            <w:div w:id="901788473">
                              <w:marLeft w:val="0"/>
                              <w:marRight w:val="0"/>
                              <w:marTop w:val="0"/>
                              <w:marBottom w:val="0"/>
                              <w:divBdr>
                                <w:top w:val="none" w:sz="0" w:space="0" w:color="auto"/>
                                <w:left w:val="none" w:sz="0" w:space="0" w:color="auto"/>
                                <w:bottom w:val="none" w:sz="0" w:space="0" w:color="auto"/>
                                <w:right w:val="none" w:sz="0" w:space="0" w:color="auto"/>
                              </w:divBdr>
                              <w:divsChild>
                                <w:div w:id="16789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document/commission-decision-framework-inclusion-2021-27" TargetMode="External"/><Relationship Id="rId3" Type="http://schemas.openxmlformats.org/officeDocument/2006/relationships/settings" Target="settings.xml"/><Relationship Id="rId7" Type="http://schemas.openxmlformats.org/officeDocument/2006/relationships/hyperlink" Target="https://ec.europa.eu/programmes/erasmus-plus/resources/implementation-guidelines-erasmus-and-european-solidarity-corps-inclusion-and-divers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smus-plus.ec.europa.eu/document/erasmus-programme-guide-2022" TargetMode="External"/><Relationship Id="rId5" Type="http://schemas.openxmlformats.org/officeDocument/2006/relationships/hyperlink" Target="https://erasmus-plus.ec.europa.eu/document/implementation-guidelines-erasmus-and-european-solidarity-corps-inclusion-and-diversity-strate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4575</Words>
  <Characters>2609</Characters>
  <Application>Microsoft Office Word</Application>
  <DocSecurity>0</DocSecurity>
  <Lines>21</Lines>
  <Paragraphs>14</Paragraphs>
  <ScaleCrop>false</ScaleCrop>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2024-03-16T14:53:00Z</cp:lastPrinted>
  <dcterms:created xsi:type="dcterms:W3CDTF">2024-03-16T14:49:00Z</dcterms:created>
  <dcterms:modified xsi:type="dcterms:W3CDTF">2024-03-16T14:53:00Z</dcterms:modified>
</cp:coreProperties>
</file>